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D1EB6" w14:textId="1BFE4909" w:rsidR="0096732B" w:rsidRDefault="0096732B">
      <w:pPr>
        <w:spacing w:line="1" w:lineRule="exact"/>
      </w:pPr>
    </w:p>
    <w:p w14:paraId="78D0ACC6" w14:textId="77777777" w:rsidR="002739CB" w:rsidRDefault="002739CB" w:rsidP="002739CB">
      <w:pPr>
        <w:pStyle w:val="Heading10"/>
        <w:spacing w:after="0"/>
        <w:rPr>
          <w:rStyle w:val="Heading1"/>
        </w:rPr>
      </w:pPr>
      <w:bookmarkStart w:id="0" w:name="bookmark0"/>
      <w:r>
        <w:rPr>
          <w:rStyle w:val="Heading1"/>
        </w:rPr>
        <w:t xml:space="preserve">Proyecto de Ley por la que se modifica la Ley de juegos de azar </w:t>
      </w:r>
    </w:p>
    <w:p w14:paraId="4D85A253" w14:textId="56041859" w:rsidR="002739CB" w:rsidRDefault="002739CB" w:rsidP="002739CB">
      <w:pPr>
        <w:pStyle w:val="Heading10"/>
        <w:spacing w:after="0"/>
        <w:rPr>
          <w:rStyle w:val="Heading1"/>
        </w:rPr>
      </w:pPr>
      <w:r>
        <w:rPr>
          <w:rStyle w:val="Heading1"/>
        </w:rPr>
        <w:t>(2018:1138)</w:t>
      </w:r>
      <w:bookmarkEnd w:id="0"/>
    </w:p>
    <w:p w14:paraId="7626EC37" w14:textId="5EEEFC8B" w:rsidR="002739CB" w:rsidRDefault="002739CB" w:rsidP="002739CB">
      <w:pPr>
        <w:pStyle w:val="Heading10"/>
        <w:spacing w:after="0"/>
        <w:rPr>
          <w:rStyle w:val="Heading1"/>
        </w:rPr>
      </w:pPr>
    </w:p>
    <w:p w14:paraId="777FFCE1" w14:textId="4FB624A1" w:rsidR="002739CB" w:rsidRDefault="002739CB" w:rsidP="002739CB">
      <w:pPr>
        <w:pStyle w:val="BodyText"/>
        <w:ind w:left="200" w:hanging="200"/>
      </w:pPr>
      <w:r>
        <w:rPr>
          <w:rStyle w:val="BodyTextChar"/>
        </w:rPr>
        <w:t>Por la presente se decreta</w:t>
      </w:r>
      <w:r w:rsidR="00CC3533">
        <w:rPr>
          <w:rStyle w:val="FootnoteReference"/>
        </w:rPr>
        <w:footnoteReference w:id="1"/>
      </w:r>
      <w:r>
        <w:rPr>
          <w:rStyle w:val="BodyTextChar"/>
        </w:rPr>
        <w:t xml:space="preserve"> con respecto a la Ley de juegos de azar (2018:1138)</w:t>
      </w:r>
      <w:r>
        <w:rPr>
          <w:rStyle w:val="BodyTextChar"/>
        </w:rPr>
        <w:br/>
        <w:t>que el capítulo 1 artículo 4 deje de aplicarse,</w:t>
      </w:r>
      <w:r>
        <w:rPr>
          <w:rStyle w:val="BodyTextChar"/>
        </w:rPr>
        <w:br/>
        <w:t>y que el capítulo 1 artículo 2 quede redactada como sigue.</w:t>
      </w:r>
    </w:p>
    <w:p w14:paraId="041546DE" w14:textId="177D2098" w:rsidR="002739CB" w:rsidRDefault="002739CB" w:rsidP="002739CB">
      <w:pPr>
        <w:pStyle w:val="BodyText"/>
        <w:tabs>
          <w:tab w:val="left" w:pos="3067"/>
        </w:tabs>
        <w:spacing w:after="0"/>
        <w:ind w:firstLine="0"/>
      </w:pPr>
      <w:r>
        <w:rPr>
          <w:rStyle w:val="BodyTextChar"/>
          <w:i/>
        </w:rPr>
        <w:t>Redacción actual</w:t>
      </w:r>
      <w:r>
        <w:rPr>
          <w:rStyle w:val="BodyTextChar"/>
          <w:i/>
        </w:rPr>
        <w:tab/>
      </w:r>
      <w:r>
        <w:rPr>
          <w:rStyle w:val="BodyTextChar"/>
          <w:i/>
        </w:rPr>
        <w:tab/>
      </w:r>
      <w:r>
        <w:rPr>
          <w:rStyle w:val="BodyTextChar"/>
          <w:i/>
        </w:rPr>
        <w:tab/>
        <w:t>Redacción propuesta</w:t>
      </w:r>
    </w:p>
    <w:p w14:paraId="115B52B1" w14:textId="5FBB9AE5" w:rsidR="002739CB" w:rsidRDefault="002739CB" w:rsidP="002739CB">
      <w:pPr>
        <w:pStyle w:val="Heading10"/>
        <w:spacing w:after="0"/>
        <w:rPr>
          <w:rStyle w:val="Heading1"/>
        </w:rPr>
      </w:pPr>
    </w:p>
    <w:p w14:paraId="10566221" w14:textId="77777777" w:rsidR="002739CB" w:rsidRDefault="002739CB" w:rsidP="002739CB">
      <w:pPr>
        <w:pStyle w:val="BodyText"/>
        <w:spacing w:after="0"/>
        <w:ind w:left="2700" w:firstLine="0"/>
      </w:pPr>
      <w:r>
        <w:rPr>
          <w:rStyle w:val="BodyTextChar"/>
          <w:b/>
        </w:rPr>
        <w:t>Capítulo 1</w:t>
      </w:r>
    </w:p>
    <w:p w14:paraId="7AC36286" w14:textId="77777777" w:rsidR="002739CB" w:rsidRDefault="002739CB" w:rsidP="002739CB">
      <w:pPr>
        <w:pStyle w:val="BodyText"/>
        <w:spacing w:after="0"/>
        <w:ind w:left="2840" w:firstLine="0"/>
        <w:rPr>
          <w:rStyle w:val="BodyTextChar"/>
        </w:rPr>
        <w:sectPr w:rsidR="002739CB" w:rsidSect="002739CB">
          <w:pgSz w:w="9355" w:h="13718"/>
          <w:pgMar w:top="720" w:right="985" w:bottom="360" w:left="810" w:header="0" w:footer="3" w:gutter="0"/>
          <w:cols w:space="720"/>
          <w:noEndnote/>
          <w:docGrid w:linePitch="360"/>
        </w:sectPr>
      </w:pPr>
      <w:r>
        <w:rPr>
          <w:rStyle w:val="BodyTextChar"/>
        </w:rPr>
        <w:t>Artículo 2</w:t>
      </w:r>
    </w:p>
    <w:p w14:paraId="6F28FBA4" w14:textId="77777777" w:rsidR="002B0970" w:rsidRDefault="002739CB" w:rsidP="002B0970">
      <w:pPr>
        <w:pStyle w:val="BodyText"/>
        <w:spacing w:after="0"/>
        <w:jc w:val="both"/>
      </w:pPr>
      <w:r>
        <w:rPr>
          <w:rStyle w:val="Heading1"/>
          <w:sz w:val="20"/>
        </w:rPr>
        <w:t>Salvo que se disponga otra cosa en los artículos 3, 4 o 5, la Ley se aplicará a los juegos de azar que se ofrezcan en Suecia. Los juegos de azar en línea no dirigidos al mercado sueco no se considerarán ofrecidos en Suecia.</w:t>
      </w:r>
      <w:r>
        <w:rPr>
          <w:rStyle w:val="Heading1"/>
          <w:sz w:val="20"/>
        </w:rPr>
        <w:br w:type="column"/>
      </w:r>
      <w:r>
        <w:rPr>
          <w:rStyle w:val="BodyTextChar"/>
        </w:rPr>
        <w:t xml:space="preserve"> A menos que se disponga lo contrario en los artículos 3 o 5, la Ley se aplicará a los juegos de azar ofrecidos en Suecia. Los juegos de azar en línea no dirigidos al mercado sueco no se considerarán ofrecidos en Suecia.</w:t>
      </w:r>
    </w:p>
    <w:p w14:paraId="3B323635" w14:textId="59AEFDEF" w:rsidR="002739CB" w:rsidRDefault="002739CB" w:rsidP="002739CB">
      <w:pPr>
        <w:pStyle w:val="Heading10"/>
        <w:spacing w:after="0"/>
        <w:rPr>
          <w:rStyle w:val="Heading1"/>
          <w:sz w:val="20"/>
          <w:szCs w:val="20"/>
        </w:rPr>
      </w:pPr>
    </w:p>
    <w:p w14:paraId="17D55D8A" w14:textId="77777777" w:rsidR="002B0970" w:rsidRDefault="002B0970" w:rsidP="002739CB">
      <w:pPr>
        <w:pStyle w:val="Heading10"/>
        <w:spacing w:after="0"/>
        <w:rPr>
          <w:rStyle w:val="Heading1"/>
          <w:sz w:val="20"/>
          <w:szCs w:val="20"/>
        </w:rPr>
        <w:sectPr w:rsidR="002B0970" w:rsidSect="002739CB">
          <w:type w:val="continuous"/>
          <w:pgSz w:w="9355" w:h="13718"/>
          <w:pgMar w:top="720" w:right="985" w:bottom="360" w:left="810" w:header="0" w:footer="3" w:gutter="0"/>
          <w:cols w:num="2" w:space="720"/>
          <w:noEndnote/>
          <w:docGrid w:linePitch="360"/>
        </w:sectPr>
      </w:pPr>
    </w:p>
    <w:p w14:paraId="2950B250" w14:textId="77777777" w:rsidR="002B0970" w:rsidRPr="002739CB" w:rsidRDefault="002B0970" w:rsidP="002739CB">
      <w:pPr>
        <w:pStyle w:val="Heading10"/>
        <w:spacing w:after="0"/>
        <w:rPr>
          <w:rStyle w:val="Heading1"/>
          <w:sz w:val="20"/>
          <w:szCs w:val="20"/>
        </w:rPr>
      </w:pPr>
    </w:p>
    <w:p w14:paraId="025191E1" w14:textId="478903E5" w:rsidR="002739CB" w:rsidRDefault="002739CB" w:rsidP="00DD322C">
      <w:pPr>
        <w:pStyle w:val="Footnote0"/>
        <w:framePr w:w="6518" w:h="1912" w:hRule="exact" w:wrap="none" w:vAnchor="page" w:hAnchor="page" w:x="646" w:y="6121"/>
        <w:numPr>
          <w:ilvl w:val="0"/>
          <w:numId w:val="1"/>
        </w:numPr>
        <w:rPr>
          <w:rStyle w:val="Footnote"/>
          <w:sz w:val="20"/>
          <w:szCs w:val="20"/>
        </w:rPr>
      </w:pPr>
      <w:r>
        <w:rPr>
          <w:rStyle w:val="Footnote"/>
          <w:sz w:val="20"/>
        </w:rPr>
        <w:t>La presente Ley entrará en vigor en la fecha que determine el Gobierno.</w:t>
      </w:r>
    </w:p>
    <w:p w14:paraId="6E674B65" w14:textId="2E1CF1EC" w:rsidR="00CC3533" w:rsidRDefault="00CC3533" w:rsidP="00DD322C">
      <w:pPr>
        <w:pStyle w:val="Footnote0"/>
        <w:framePr w:w="6518" w:h="1912" w:hRule="exact" w:wrap="none" w:vAnchor="page" w:hAnchor="page" w:x="646" w:y="6121"/>
        <w:numPr>
          <w:ilvl w:val="0"/>
          <w:numId w:val="1"/>
        </w:numPr>
        <w:rPr>
          <w:rStyle w:val="Footnote"/>
          <w:sz w:val="20"/>
          <w:szCs w:val="20"/>
        </w:rPr>
      </w:pPr>
      <w:r>
        <w:rPr>
          <w:rStyle w:val="Footnote"/>
          <w:sz w:val="20"/>
        </w:rPr>
        <w:t>Las circunstancias relativas al momento anterior a la entrada en vigor seguirán rigiéndose por disposiciones más antiguas.</w:t>
      </w:r>
    </w:p>
    <w:p w14:paraId="312E6709" w14:textId="77777777" w:rsidR="00CC3533" w:rsidRDefault="00CC3533" w:rsidP="00DD322C">
      <w:pPr>
        <w:pStyle w:val="Footnote0"/>
        <w:framePr w:w="6518" w:h="1912" w:hRule="exact" w:wrap="none" w:vAnchor="page" w:hAnchor="page" w:x="646" w:y="6121"/>
        <w:ind w:firstLine="0"/>
        <w:rPr>
          <w:sz w:val="20"/>
          <w:szCs w:val="20"/>
        </w:rPr>
      </w:pPr>
    </w:p>
    <w:p w14:paraId="51DB55E7" w14:textId="0A2710DB" w:rsidR="0096732B" w:rsidRDefault="002B097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E587C" wp14:editId="4577ECF7">
                <wp:simplePos x="0" y="0"/>
                <wp:positionH relativeFrom="column">
                  <wp:posOffset>3810</wp:posOffset>
                </wp:positionH>
                <wp:positionV relativeFrom="paragraph">
                  <wp:posOffset>76835</wp:posOffset>
                </wp:positionV>
                <wp:extent cx="201168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7B4A33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6.05pt" to="158.7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" strokecolor="black [3200]" strokeweight=".5pt">
                <v:stroke joinstyle="miter"/>
              </v:line>
            </w:pict>
          </mc:Fallback>
        </mc:AlternateContent>
      </w:r>
    </w:p>
    <w:sectPr w:rsidR="0096732B" w:rsidSect="002739CB">
      <w:type w:val="continuous"/>
      <w:pgSz w:w="9355" w:h="13718"/>
      <w:pgMar w:top="720" w:right="985" w:bottom="360" w:left="810" w:header="0" w:footer="3" w:gutter="0"/>
      <w:cols w:num="2"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38B22" w14:textId="77777777" w:rsidR="0074574C" w:rsidRDefault="0074574C">
      <w:r>
        <w:separator/>
      </w:r>
    </w:p>
  </w:endnote>
  <w:endnote w:type="continuationSeparator" w:id="0">
    <w:p w14:paraId="6B7C25EB" w14:textId="77777777" w:rsidR="0074574C" w:rsidRDefault="00745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873F4" w14:textId="77777777" w:rsidR="0074574C" w:rsidRDefault="0074574C">
      <w:r>
        <w:separator/>
      </w:r>
    </w:p>
  </w:footnote>
  <w:footnote w:type="continuationSeparator" w:id="0">
    <w:p w14:paraId="7AC4F792" w14:textId="77777777" w:rsidR="0074574C" w:rsidRDefault="0074574C">
      <w:r>
        <w:continuationSeparator/>
      </w:r>
    </w:p>
  </w:footnote>
  <w:footnote w:id="1">
    <w:p w14:paraId="19A81D9E" w14:textId="618CAEEB" w:rsidR="00CC3533" w:rsidRPr="00054AC5" w:rsidRDefault="00CC3533" w:rsidP="00054AC5">
      <w:pPr>
        <w:pStyle w:val="Footnote0"/>
        <w:ind w:firstLine="0"/>
      </w:pPr>
      <w:r>
        <w:rPr>
          <w:rStyle w:val="FootnoteReference"/>
        </w:rPr>
        <w:footnoteRef/>
      </w:r>
      <w:r>
        <w:t xml:space="preserve"> </w:t>
      </w:r>
      <w:r>
        <w:rPr>
          <w:rStyle w:val="Footnote"/>
        </w:rPr>
        <w:t>Véase la Directiva (UE) 2015/1535 del Parlamento Europeo y del Consejo, de 9 de septiembre de 2015, por la que se establece un procedimiento de información en materia de reglamentaciones técnicas y de reglas relativas a los servicios de la sociedad de la información.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B729B"/>
    <w:multiLevelType w:val="hybridMultilevel"/>
    <w:tmpl w:val="E8409D64"/>
    <w:lvl w:ilvl="0" w:tplc="2FB8099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32B"/>
    <w:rsid w:val="00054AC5"/>
    <w:rsid w:val="000F3933"/>
    <w:rsid w:val="002739CB"/>
    <w:rsid w:val="002B0970"/>
    <w:rsid w:val="0040117D"/>
    <w:rsid w:val="0074574C"/>
    <w:rsid w:val="0096732B"/>
    <w:rsid w:val="00A70222"/>
    <w:rsid w:val="00CC3533"/>
    <w:rsid w:val="00DD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CA2D9"/>
  <w15:docId w15:val="{D28732C6-CDA9-41B7-A374-BB1D4ACB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s-ES" w:eastAsia="sv-SE" w:bidi="sv-SE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Footnote">
    <w:name w:val="Footnote_"/>
    <w:basedOn w:val="DefaultParagraphFont"/>
    <w:link w:val="Footnot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Heading10">
    <w:name w:val="Heading #1"/>
    <w:basedOn w:val="Normal"/>
    <w:link w:val="Heading1"/>
    <w:pPr>
      <w:spacing w:after="220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styleId="BodyText">
    <w:name w:val="Body Text"/>
    <w:basedOn w:val="Normal"/>
    <w:link w:val="BodyTextChar"/>
    <w:qFormat/>
    <w:pPr>
      <w:spacing w:after="220"/>
      <w:ind w:firstLine="2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otnote0">
    <w:name w:val="Footnote"/>
    <w:basedOn w:val="Normal"/>
    <w:link w:val="Footnote"/>
    <w:pPr>
      <w:ind w:firstLine="100"/>
    </w:pPr>
    <w:rPr>
      <w:rFonts w:ascii="Times New Roman" w:eastAsia="Times New Roman" w:hAnsi="Times New Roman" w:cs="Times New Roman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353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3533"/>
    <w:rPr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35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57B28-C902-4648-A7FA-E16EAA4D8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Christne.Bauernfeind</dc:creator>
  <cp:keywords/>
  <cp:lastModifiedBy>Liana Brili</cp:lastModifiedBy>
  <cp:revision>7</cp:revision>
  <dcterms:created xsi:type="dcterms:W3CDTF">2022-02-01T12:54:00Z</dcterms:created>
  <dcterms:modified xsi:type="dcterms:W3CDTF">2022-02-04T16:22:00Z</dcterms:modified>
</cp:coreProperties>
</file>